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00B33CCF"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FB346C">
        <w:rPr>
          <w:rFonts w:ascii="Times New Roman" w:hAnsi="Times New Roman"/>
          <w:b/>
          <w:lang w:val="es-ES"/>
        </w:rPr>
        <w:t>22</w:t>
      </w:r>
      <w:r w:rsidR="002779AC">
        <w:rPr>
          <w:rFonts w:ascii="Times New Roman" w:hAnsi="Times New Roman"/>
          <w:b/>
          <w:lang w:val="es-ES"/>
        </w:rPr>
        <w:t xml:space="preserve"> </w:t>
      </w:r>
      <w:r w:rsidR="008A5F42">
        <w:rPr>
          <w:rFonts w:ascii="Times New Roman" w:hAnsi="Times New Roman"/>
          <w:b/>
          <w:lang w:val="es-ES"/>
        </w:rPr>
        <w:t xml:space="preserve">AL </w:t>
      </w:r>
      <w:r w:rsidR="00FB346C">
        <w:rPr>
          <w:rFonts w:ascii="Times New Roman" w:hAnsi="Times New Roman"/>
          <w:b/>
          <w:lang w:val="es-ES"/>
        </w:rPr>
        <w:t>28</w:t>
      </w:r>
      <w:r w:rsidR="008A5F42">
        <w:rPr>
          <w:rFonts w:ascii="Times New Roman" w:hAnsi="Times New Roman"/>
          <w:b/>
          <w:lang w:val="es-ES"/>
        </w:rPr>
        <w:t xml:space="preserve"> </w:t>
      </w:r>
      <w:r w:rsidR="0065271C">
        <w:rPr>
          <w:rFonts w:ascii="Times New Roman" w:hAnsi="Times New Roman"/>
          <w:b/>
          <w:lang w:val="es-ES"/>
        </w:rPr>
        <w:t xml:space="preserve">DE </w:t>
      </w:r>
      <w:r w:rsidR="003266F6">
        <w:rPr>
          <w:rFonts w:ascii="Times New Roman" w:hAnsi="Times New Roman"/>
          <w:b/>
          <w:lang w:val="es-ES"/>
        </w:rPr>
        <w:t>DICIEM</w:t>
      </w:r>
      <w:r w:rsidR="0065271C">
        <w:rPr>
          <w:rFonts w:ascii="Times New Roman" w:hAnsi="Times New Roman"/>
          <w:b/>
          <w:lang w:val="es-ES"/>
        </w:rPr>
        <w:t>BRE</w:t>
      </w:r>
      <w:r w:rsidR="008A5F42">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6140CD62" w14:textId="5591E9D1" w:rsidR="00172677" w:rsidRDefault="00FC7398" w:rsidP="00FB346C">
      <w:pPr>
        <w:rPr>
          <w:rFonts w:ascii="Times New Roman" w:hAnsi="Times New Roman"/>
          <w:b/>
          <w:u w:val="single"/>
          <w:lang w:val="es-ES"/>
        </w:rPr>
      </w:pPr>
      <w:r>
        <w:rPr>
          <w:rFonts w:ascii="Times New Roman" w:hAnsi="Times New Roman"/>
          <w:b/>
          <w:u w:val="single"/>
          <w:lang w:val="es-ES"/>
        </w:rPr>
        <w:t>LUNES</w:t>
      </w:r>
      <w:r w:rsidR="007D45F6">
        <w:rPr>
          <w:rFonts w:ascii="Times New Roman" w:hAnsi="Times New Roman"/>
          <w:b/>
          <w:u w:val="single"/>
          <w:lang w:val="es-ES"/>
        </w:rPr>
        <w:t xml:space="preserve"> </w:t>
      </w:r>
      <w:r w:rsidR="00FB346C">
        <w:rPr>
          <w:rFonts w:ascii="Times New Roman" w:hAnsi="Times New Roman"/>
          <w:b/>
          <w:u w:val="single"/>
          <w:lang w:val="es-ES"/>
        </w:rPr>
        <w:t>22</w:t>
      </w:r>
    </w:p>
    <w:p w14:paraId="2C944EE7" w14:textId="77777777" w:rsidR="00FB346C" w:rsidRDefault="00FB346C" w:rsidP="00FB346C">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50A3CC55" w14:textId="77777777" w:rsidR="00FB346C" w:rsidRDefault="00FB346C" w:rsidP="00FB346C">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36E2BF9B" w14:textId="77777777" w:rsidR="00FB346C" w:rsidRDefault="00FB346C" w:rsidP="00FB346C">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33DD7846" w14:textId="77777777" w:rsidR="00FB346C" w:rsidRDefault="00FB346C" w:rsidP="00FB346C">
      <w:pPr>
        <w:pStyle w:val="NormalWeb"/>
        <w:numPr>
          <w:ilvl w:val="0"/>
          <w:numId w:val="4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HAC/1495/2025, de 17 de diciembre, por la que se aprueba el modelo 319, «Pago a cuenta del IVA correspondiente a las entregas de gasolinas, gasóleos y biocarburantes posteriores a la ultimación del régimen de depósito distinto del aduanero» y se establecen las condiciones y el procedimiento para su presentación.</w:t>
      </w:r>
    </w:p>
    <w:p w14:paraId="525BDC89" w14:textId="77777777" w:rsidR="00FB346C" w:rsidRDefault="00FB346C" w:rsidP="00FB346C">
      <w:pPr>
        <w:pStyle w:val="puntopdf"/>
        <w:numPr>
          <w:ilvl w:val="1"/>
          <w:numId w:val="46"/>
        </w:numPr>
        <w:shd w:val="clear" w:color="auto" w:fill="F8F8F8"/>
        <w:spacing w:before="0" w:after="0"/>
        <w:ind w:left="1680" w:right="240"/>
        <w:rPr>
          <w:rFonts w:ascii="Verdana" w:hAnsi="Verdana"/>
          <w:color w:val="000000"/>
          <w:sz w:val="22"/>
          <w:szCs w:val="22"/>
        </w:rPr>
      </w:pPr>
      <w:hyperlink r:id="rId10" w:tooltip="PDF firmado BOE-A-2025-26216" w:history="1">
        <w:r>
          <w:rPr>
            <w:rStyle w:val="Hipervnculo"/>
            <w:rFonts w:ascii="Verdana" w:hAnsi="Verdana"/>
            <w:sz w:val="22"/>
            <w:szCs w:val="22"/>
          </w:rPr>
          <w:t>PDF (BOE-A-2025-26216 - 5 págs. - 328 KB)</w:t>
        </w:r>
      </w:hyperlink>
    </w:p>
    <w:p w14:paraId="0C60F263" w14:textId="77777777" w:rsidR="00FB346C" w:rsidRDefault="00FB346C" w:rsidP="00FB346C">
      <w:pPr>
        <w:pStyle w:val="puntohtml"/>
        <w:numPr>
          <w:ilvl w:val="1"/>
          <w:numId w:val="46"/>
        </w:numPr>
        <w:shd w:val="clear" w:color="auto" w:fill="F8F8F8"/>
        <w:spacing w:before="0" w:after="0"/>
        <w:ind w:left="1680" w:right="240"/>
        <w:rPr>
          <w:rFonts w:ascii="Verdana" w:hAnsi="Verdana"/>
          <w:color w:val="000000"/>
          <w:sz w:val="22"/>
          <w:szCs w:val="22"/>
        </w:rPr>
      </w:pPr>
      <w:hyperlink r:id="rId11" w:tooltip="Versión HTML BOE-A-2025-26216" w:history="1">
        <w:r>
          <w:rPr>
            <w:rStyle w:val="Hipervnculo"/>
            <w:rFonts w:ascii="Verdana" w:hAnsi="Verdana"/>
            <w:sz w:val="22"/>
            <w:szCs w:val="22"/>
          </w:rPr>
          <w:t>Otros formatos</w:t>
        </w:r>
      </w:hyperlink>
    </w:p>
    <w:p w14:paraId="7E3F7D41" w14:textId="77777777" w:rsidR="00FB346C" w:rsidRDefault="00FB346C" w:rsidP="00FB346C">
      <w:pPr>
        <w:pStyle w:val="NormalWeb"/>
        <w:numPr>
          <w:ilvl w:val="0"/>
          <w:numId w:val="4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HAC/1496/2025, de 17 de diciembre, por la que se aprueba el procedimiento para reconocer la condición de operador confiable y por la que se regula la creación y el mantenimiento de un registro de operadores confiables, en materia de garantías del ingreso del Impuesto sobre el Valor Añadido correspondiente a determinados carburantes que abandonan el régimen de depósito distinto del aduanero.</w:t>
      </w:r>
    </w:p>
    <w:p w14:paraId="64B516C7" w14:textId="77777777" w:rsidR="00FB346C" w:rsidRDefault="00FB346C" w:rsidP="00FB346C">
      <w:pPr>
        <w:pStyle w:val="puntopdf"/>
        <w:numPr>
          <w:ilvl w:val="1"/>
          <w:numId w:val="46"/>
        </w:numPr>
        <w:shd w:val="clear" w:color="auto" w:fill="F8F8F8"/>
        <w:spacing w:before="0" w:after="0"/>
        <w:ind w:left="1680" w:right="240"/>
        <w:rPr>
          <w:rFonts w:ascii="Verdana" w:hAnsi="Verdana"/>
          <w:color w:val="000000"/>
          <w:sz w:val="22"/>
          <w:szCs w:val="22"/>
        </w:rPr>
      </w:pPr>
      <w:hyperlink r:id="rId12" w:tooltip="PDF firmado BOE-A-2025-26217" w:history="1">
        <w:r>
          <w:rPr>
            <w:rStyle w:val="Hipervnculo"/>
            <w:rFonts w:ascii="Verdana" w:hAnsi="Verdana"/>
            <w:sz w:val="22"/>
            <w:szCs w:val="22"/>
          </w:rPr>
          <w:t>PDF (BOE-A-2025-26217 - 5 págs. - 215 KB)</w:t>
        </w:r>
      </w:hyperlink>
    </w:p>
    <w:p w14:paraId="01CDAF3F" w14:textId="77777777" w:rsidR="00FB346C" w:rsidRDefault="00FB346C" w:rsidP="00FB346C">
      <w:pPr>
        <w:pStyle w:val="puntohtml"/>
        <w:numPr>
          <w:ilvl w:val="1"/>
          <w:numId w:val="46"/>
        </w:numPr>
        <w:shd w:val="clear" w:color="auto" w:fill="F8F8F8"/>
        <w:spacing w:before="0" w:after="0"/>
        <w:ind w:left="1680" w:right="240"/>
        <w:rPr>
          <w:rFonts w:ascii="Verdana" w:hAnsi="Verdana"/>
          <w:color w:val="000000"/>
          <w:sz w:val="22"/>
          <w:szCs w:val="22"/>
        </w:rPr>
      </w:pPr>
      <w:hyperlink r:id="rId13" w:tooltip="Versión HTML BOE-A-2025-26217" w:history="1">
        <w:r>
          <w:rPr>
            <w:rStyle w:val="Hipervnculo"/>
            <w:rFonts w:ascii="Verdana" w:hAnsi="Verdana"/>
            <w:sz w:val="22"/>
            <w:szCs w:val="22"/>
          </w:rPr>
          <w:t>Otros formatos</w:t>
        </w:r>
      </w:hyperlink>
    </w:p>
    <w:p w14:paraId="4AC8A42E" w14:textId="77777777" w:rsidR="00FB346C" w:rsidRDefault="00FB346C" w:rsidP="00FB346C">
      <w:pPr>
        <w:pStyle w:val="NormalWeb"/>
        <w:numPr>
          <w:ilvl w:val="0"/>
          <w:numId w:val="4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HAC/1497/2025, de 17 de diciembre, por la que se establecen los requisitos y los aspectos generales correspondientes a los avales a los que se refiere el apartado undécimo del anexo de la Ley 37/1992, de 28 de diciembre, del Impuesto sobre el Valor Añadido, que deben constituirse en garantía del ingreso del citado impuesto con ocasión de la entrega de determinados carburantes que abandonen el régimen de depósito distinto del aduanero, y por la que se aprueba el modelo de aval.</w:t>
      </w:r>
    </w:p>
    <w:p w14:paraId="0E4F5D92" w14:textId="77777777" w:rsidR="00FB346C" w:rsidRDefault="00FB346C" w:rsidP="00FB346C">
      <w:pPr>
        <w:pStyle w:val="puntopdf"/>
        <w:numPr>
          <w:ilvl w:val="1"/>
          <w:numId w:val="46"/>
        </w:numPr>
        <w:shd w:val="clear" w:color="auto" w:fill="F8F8F8"/>
        <w:spacing w:before="0" w:after="0"/>
        <w:ind w:left="1680" w:right="240"/>
        <w:rPr>
          <w:rFonts w:ascii="Verdana" w:hAnsi="Verdana"/>
          <w:color w:val="000000"/>
          <w:sz w:val="22"/>
          <w:szCs w:val="22"/>
        </w:rPr>
      </w:pPr>
      <w:hyperlink r:id="rId14" w:tooltip="PDF firmado BOE-A-2025-26218" w:history="1">
        <w:r>
          <w:rPr>
            <w:rStyle w:val="Hipervnculo"/>
            <w:rFonts w:ascii="Verdana" w:hAnsi="Verdana"/>
            <w:sz w:val="22"/>
            <w:szCs w:val="22"/>
          </w:rPr>
          <w:t>PDF (BOE-A-2025-26218 - 7 págs. - 226 KB)</w:t>
        </w:r>
      </w:hyperlink>
    </w:p>
    <w:p w14:paraId="5022BCCE" w14:textId="77777777" w:rsidR="00FB346C" w:rsidRDefault="00FB346C" w:rsidP="00FB346C">
      <w:pPr>
        <w:pStyle w:val="puntohtml"/>
        <w:numPr>
          <w:ilvl w:val="1"/>
          <w:numId w:val="46"/>
        </w:numPr>
        <w:shd w:val="clear" w:color="auto" w:fill="F8F8F8"/>
        <w:spacing w:before="0" w:after="0"/>
        <w:ind w:left="1680" w:right="240"/>
        <w:rPr>
          <w:rFonts w:ascii="Verdana" w:hAnsi="Verdana"/>
          <w:color w:val="000000"/>
          <w:sz w:val="22"/>
          <w:szCs w:val="22"/>
        </w:rPr>
      </w:pPr>
      <w:hyperlink r:id="rId15" w:tooltip="Versión HTML BOE-A-2025-26218" w:history="1">
        <w:r>
          <w:rPr>
            <w:rStyle w:val="Hipervnculo"/>
            <w:rFonts w:ascii="Verdana" w:hAnsi="Verdana"/>
            <w:sz w:val="22"/>
            <w:szCs w:val="22"/>
          </w:rPr>
          <w:t>Otros formatos</w:t>
        </w:r>
      </w:hyperlink>
    </w:p>
    <w:p w14:paraId="6F23D85F" w14:textId="77777777" w:rsidR="005C5ED2" w:rsidRDefault="005C5ED2" w:rsidP="005C5ED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7AD1C03E" w14:textId="77777777" w:rsidR="005C5ED2" w:rsidRDefault="005C5ED2" w:rsidP="005C5ED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BC913DE" w14:textId="77777777" w:rsidR="005C5ED2" w:rsidRDefault="005C5ED2" w:rsidP="005C5ED2">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Cuerpos</w:t>
      </w:r>
      <w:proofErr w:type="spellEnd"/>
      <w:r>
        <w:rPr>
          <w:rFonts w:ascii="Verdana" w:hAnsi="Verdana"/>
          <w:color w:val="000000"/>
          <w:sz w:val="26"/>
          <w:szCs w:val="26"/>
        </w:rPr>
        <w:t xml:space="preserve"> de la Administración General del Estado</w:t>
      </w:r>
    </w:p>
    <w:p w14:paraId="4C0C038A" w14:textId="77777777" w:rsidR="005C5ED2" w:rsidRDefault="005C5ED2" w:rsidP="005C5ED2">
      <w:pPr>
        <w:pStyle w:val="NormalWeb"/>
        <w:numPr>
          <w:ilvl w:val="0"/>
          <w:numId w:val="4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18 de diciembre de 2025, de la Secretaría de Estado de Función Pública, por la que se convocan procesos selectivos para el ingreso y acceso </w:t>
      </w:r>
      <w:r>
        <w:rPr>
          <w:rFonts w:ascii="Verdana" w:hAnsi="Verdana"/>
          <w:color w:val="000000"/>
          <w:sz w:val="21"/>
          <w:szCs w:val="21"/>
        </w:rPr>
        <w:lastRenderedPageBreak/>
        <w:t>en Cuerpos de la Administración General del Estado, y se encarga su realización a la Comisión Permanente de Selección.</w:t>
      </w:r>
    </w:p>
    <w:p w14:paraId="03F0A173" w14:textId="77777777" w:rsidR="005C5ED2" w:rsidRDefault="005C5ED2" w:rsidP="005C5ED2">
      <w:pPr>
        <w:pStyle w:val="puntopdf"/>
        <w:numPr>
          <w:ilvl w:val="1"/>
          <w:numId w:val="47"/>
        </w:numPr>
        <w:shd w:val="clear" w:color="auto" w:fill="F8F8F8"/>
        <w:spacing w:before="0" w:after="0"/>
        <w:ind w:left="1680" w:right="240"/>
        <w:rPr>
          <w:rFonts w:ascii="Verdana" w:hAnsi="Verdana"/>
          <w:color w:val="000000"/>
          <w:sz w:val="22"/>
          <w:szCs w:val="22"/>
        </w:rPr>
      </w:pPr>
      <w:hyperlink r:id="rId16" w:tooltip="PDF firmado BOE-A-2025-26262" w:history="1">
        <w:r>
          <w:rPr>
            <w:rStyle w:val="Hipervnculo"/>
            <w:rFonts w:ascii="Verdana" w:hAnsi="Verdana"/>
            <w:sz w:val="22"/>
            <w:szCs w:val="22"/>
          </w:rPr>
          <w:t>PDF (BOE-A-2025-26262 - 91 págs. - 955 KB)</w:t>
        </w:r>
      </w:hyperlink>
    </w:p>
    <w:p w14:paraId="42F9D9C5" w14:textId="77777777" w:rsidR="005C5ED2" w:rsidRDefault="005C5ED2" w:rsidP="005C5ED2">
      <w:pPr>
        <w:pStyle w:val="puntohtml"/>
        <w:numPr>
          <w:ilvl w:val="1"/>
          <w:numId w:val="47"/>
        </w:numPr>
        <w:shd w:val="clear" w:color="auto" w:fill="F8F8F8"/>
        <w:spacing w:before="0" w:after="0"/>
        <w:ind w:left="1680" w:right="240"/>
        <w:rPr>
          <w:rFonts w:ascii="Verdana" w:hAnsi="Verdana"/>
          <w:color w:val="000000"/>
          <w:sz w:val="22"/>
          <w:szCs w:val="22"/>
        </w:rPr>
      </w:pPr>
      <w:hyperlink r:id="rId17" w:tooltip="Versión HTML BOE-A-2025-26262" w:history="1">
        <w:r>
          <w:rPr>
            <w:rStyle w:val="Hipervnculo"/>
            <w:rFonts w:ascii="Verdana" w:hAnsi="Verdana"/>
            <w:sz w:val="22"/>
            <w:szCs w:val="22"/>
          </w:rPr>
          <w:t>Otros formatos</w:t>
        </w:r>
      </w:hyperlink>
    </w:p>
    <w:p w14:paraId="347523E2" w14:textId="3DC2993B" w:rsidR="00FB346C" w:rsidRDefault="00FB346C" w:rsidP="00FB346C">
      <w:pPr>
        <w:rPr>
          <w:rFonts w:ascii="Times New Roman" w:hAnsi="Times New Roman"/>
          <w:b/>
          <w:u w:val="single"/>
          <w:lang w:val="es-ES"/>
        </w:rPr>
      </w:pPr>
      <w:r>
        <w:rPr>
          <w:rFonts w:ascii="Times New Roman" w:hAnsi="Times New Roman"/>
          <w:b/>
          <w:u w:val="single"/>
          <w:lang w:val="es-ES"/>
        </w:rPr>
        <w:t>MARTES 23</w:t>
      </w:r>
    </w:p>
    <w:p w14:paraId="41ABB4CF" w14:textId="77777777" w:rsidR="000E2A9E" w:rsidRDefault="000E2A9E" w:rsidP="000E2A9E">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7DFFF7DA" w14:textId="77777777" w:rsidR="000E2A9E" w:rsidRDefault="000E2A9E" w:rsidP="000E2A9E">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5FD468A5" w14:textId="77777777" w:rsidR="000E2A9E" w:rsidRDefault="000E2A9E" w:rsidP="000E2A9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Impuestos</w:t>
      </w:r>
      <w:proofErr w:type="spellEnd"/>
    </w:p>
    <w:p w14:paraId="72BF64EB" w14:textId="77777777" w:rsidR="000E2A9E" w:rsidRDefault="000E2A9E" w:rsidP="000E2A9E">
      <w:pPr>
        <w:pStyle w:val="NormalWeb"/>
        <w:numPr>
          <w:ilvl w:val="0"/>
          <w:numId w:val="4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HAC/1501/2025, de 17 de diciembre, por la que se aprueban los precios medios de venta aplicables en la gestión del Impuesto sobre Transmisiones Patrimoniales y Actos Jurídicos Documentados, Impuesto sobre Sucesiones y Donaciones e Impuesto Especial sobre Determinados Medios de Transporte.</w:t>
      </w:r>
    </w:p>
    <w:p w14:paraId="338F898D" w14:textId="77777777" w:rsidR="000E2A9E" w:rsidRDefault="000E2A9E" w:rsidP="000E2A9E">
      <w:pPr>
        <w:pStyle w:val="puntopdf"/>
        <w:numPr>
          <w:ilvl w:val="1"/>
          <w:numId w:val="48"/>
        </w:numPr>
        <w:shd w:val="clear" w:color="auto" w:fill="F8F8F8"/>
        <w:spacing w:before="0" w:after="0"/>
        <w:ind w:left="1680" w:right="240"/>
        <w:rPr>
          <w:rFonts w:ascii="Verdana" w:hAnsi="Verdana"/>
          <w:color w:val="000000"/>
          <w:sz w:val="22"/>
          <w:szCs w:val="22"/>
        </w:rPr>
      </w:pPr>
      <w:hyperlink r:id="rId18" w:tooltip="PDF firmado BOE-A-2025-26357" w:history="1">
        <w:r>
          <w:rPr>
            <w:rStyle w:val="Hipervnculo"/>
            <w:rFonts w:ascii="Verdana" w:hAnsi="Verdana"/>
            <w:sz w:val="22"/>
            <w:szCs w:val="22"/>
          </w:rPr>
          <w:t>PDF (BOE-A-2025-26357 - 2219 págs. - 19.656 KB)</w:t>
        </w:r>
      </w:hyperlink>
    </w:p>
    <w:p w14:paraId="2BD47F3F" w14:textId="77777777" w:rsidR="000E2A9E" w:rsidRDefault="000E2A9E" w:rsidP="000E2A9E">
      <w:pPr>
        <w:pStyle w:val="puntohtml"/>
        <w:numPr>
          <w:ilvl w:val="1"/>
          <w:numId w:val="48"/>
        </w:numPr>
        <w:shd w:val="clear" w:color="auto" w:fill="F8F8F8"/>
        <w:spacing w:before="0" w:after="0"/>
        <w:ind w:left="1680" w:right="240"/>
        <w:rPr>
          <w:rFonts w:ascii="Verdana" w:hAnsi="Verdana"/>
          <w:color w:val="000000"/>
          <w:sz w:val="22"/>
          <w:szCs w:val="22"/>
        </w:rPr>
      </w:pPr>
      <w:hyperlink r:id="rId19" w:tooltip="Versión HTML BOE-A-2025-26357" w:history="1">
        <w:r>
          <w:rPr>
            <w:rStyle w:val="Hipervnculo"/>
            <w:rFonts w:ascii="Verdana" w:hAnsi="Verdana"/>
            <w:sz w:val="22"/>
            <w:szCs w:val="22"/>
          </w:rPr>
          <w:t>Otros formatos</w:t>
        </w:r>
      </w:hyperlink>
    </w:p>
    <w:p w14:paraId="7B81CBA4" w14:textId="6AADD346" w:rsidR="00FB346C" w:rsidRDefault="00FB346C" w:rsidP="00FB346C">
      <w:pPr>
        <w:rPr>
          <w:rFonts w:ascii="Times New Roman" w:hAnsi="Times New Roman"/>
          <w:b/>
          <w:u w:val="single"/>
          <w:lang w:val="es-ES"/>
        </w:rPr>
      </w:pPr>
      <w:r>
        <w:rPr>
          <w:rFonts w:ascii="Times New Roman" w:hAnsi="Times New Roman"/>
          <w:b/>
          <w:u w:val="single"/>
          <w:lang w:val="es-ES"/>
        </w:rPr>
        <w:t>MIÉRCOLES 24</w:t>
      </w:r>
    </w:p>
    <w:p w14:paraId="2FDCB862" w14:textId="77777777" w:rsidR="000E2A9E" w:rsidRDefault="000E2A9E" w:rsidP="000E2A9E">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19A4C9C" w14:textId="77777777" w:rsidR="000E2A9E" w:rsidRDefault="000E2A9E" w:rsidP="000E2A9E">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JEFATURA DEL ESTADO</w:t>
      </w:r>
    </w:p>
    <w:p w14:paraId="5779E1AD" w14:textId="77777777" w:rsidR="000E2A9E" w:rsidRDefault="000E2A9E" w:rsidP="000E2A9E">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Medidas </w:t>
      </w:r>
      <w:proofErr w:type="spellStart"/>
      <w:r>
        <w:rPr>
          <w:rFonts w:ascii="Verdana" w:hAnsi="Verdana"/>
          <w:color w:val="000000"/>
          <w:sz w:val="26"/>
          <w:szCs w:val="26"/>
        </w:rPr>
        <w:t>urgentes</w:t>
      </w:r>
      <w:proofErr w:type="spellEnd"/>
    </w:p>
    <w:p w14:paraId="79D37DFD" w14:textId="77777777" w:rsidR="000E2A9E" w:rsidRDefault="000E2A9E" w:rsidP="000E2A9E">
      <w:pPr>
        <w:pStyle w:val="NormalWeb"/>
        <w:numPr>
          <w:ilvl w:val="0"/>
          <w:numId w:val="4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Decreto-ley 16/2025, de 23 de diciembre, por el que se prorrogan determinadas medidas para hacer frente a situaciones de vulnerabilidad social, y se adoptan medidas urgentes en materia tributaria y de Seguridad Social.</w:t>
      </w:r>
    </w:p>
    <w:p w14:paraId="41955270" w14:textId="77777777" w:rsidR="000E2A9E" w:rsidRDefault="000E2A9E" w:rsidP="000E2A9E">
      <w:pPr>
        <w:pStyle w:val="puntopdf"/>
        <w:numPr>
          <w:ilvl w:val="1"/>
          <w:numId w:val="49"/>
        </w:numPr>
        <w:shd w:val="clear" w:color="auto" w:fill="F8F8F8"/>
        <w:spacing w:before="0" w:after="0"/>
        <w:ind w:left="1680" w:right="240"/>
        <w:rPr>
          <w:rFonts w:ascii="Verdana" w:hAnsi="Verdana"/>
          <w:color w:val="000000"/>
          <w:sz w:val="22"/>
          <w:szCs w:val="22"/>
        </w:rPr>
      </w:pPr>
      <w:hyperlink r:id="rId20" w:tooltip="PDF firmado BOE-A-2025-26458" w:history="1">
        <w:r>
          <w:rPr>
            <w:rStyle w:val="Hipervnculo"/>
            <w:rFonts w:ascii="Verdana" w:hAnsi="Verdana"/>
            <w:sz w:val="22"/>
            <w:szCs w:val="22"/>
          </w:rPr>
          <w:t>PDF (BOE-A-2025-26458 - 66 págs. - 939 KB)</w:t>
        </w:r>
      </w:hyperlink>
    </w:p>
    <w:p w14:paraId="459E3E5E" w14:textId="77777777" w:rsidR="000E2A9E" w:rsidRDefault="000E2A9E" w:rsidP="000E2A9E">
      <w:pPr>
        <w:pStyle w:val="puntohtml"/>
        <w:numPr>
          <w:ilvl w:val="1"/>
          <w:numId w:val="49"/>
        </w:numPr>
        <w:shd w:val="clear" w:color="auto" w:fill="F8F8F8"/>
        <w:spacing w:before="0" w:after="0"/>
        <w:ind w:left="1680" w:right="240"/>
        <w:rPr>
          <w:rFonts w:ascii="Verdana" w:hAnsi="Verdana"/>
          <w:color w:val="000000"/>
          <w:sz w:val="22"/>
          <w:szCs w:val="22"/>
        </w:rPr>
      </w:pPr>
      <w:hyperlink r:id="rId21" w:tooltip="Versión HTML BOE-A-2025-26458" w:history="1">
        <w:r>
          <w:rPr>
            <w:rStyle w:val="Hipervnculo"/>
            <w:rFonts w:ascii="Verdana" w:hAnsi="Verdana"/>
            <w:sz w:val="22"/>
            <w:szCs w:val="22"/>
          </w:rPr>
          <w:t>Otros formatos</w:t>
        </w:r>
      </w:hyperlink>
    </w:p>
    <w:p w14:paraId="4A2B95C2" w14:textId="33C09F1D" w:rsidR="00FB346C" w:rsidRDefault="00FB346C" w:rsidP="00FB346C">
      <w:pPr>
        <w:rPr>
          <w:rFonts w:ascii="Times New Roman" w:hAnsi="Times New Roman"/>
          <w:b/>
          <w:u w:val="single"/>
          <w:lang w:val="es-ES"/>
        </w:rPr>
      </w:pPr>
      <w:r>
        <w:rPr>
          <w:rFonts w:ascii="Times New Roman" w:hAnsi="Times New Roman"/>
          <w:b/>
          <w:u w:val="single"/>
          <w:lang w:val="es-ES"/>
        </w:rPr>
        <w:t>JUEVES 25</w:t>
      </w:r>
    </w:p>
    <w:p w14:paraId="4AFD80D3" w14:textId="77777777" w:rsidR="000E2A9E" w:rsidRDefault="000E2A9E" w:rsidP="000E2A9E">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6ED0C843" w14:textId="77777777" w:rsidR="000E2A9E" w:rsidRDefault="000E2A9E" w:rsidP="000E2A9E">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A9FAE92" w14:textId="77777777" w:rsidR="000E2A9E" w:rsidRDefault="000E2A9E" w:rsidP="000E2A9E">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Escala de </w:t>
      </w:r>
      <w:proofErr w:type="spellStart"/>
      <w:r>
        <w:rPr>
          <w:rFonts w:ascii="Verdana" w:hAnsi="Verdana"/>
          <w:color w:val="000000"/>
          <w:sz w:val="26"/>
          <w:szCs w:val="26"/>
        </w:rPr>
        <w:t>Gestión</w:t>
      </w:r>
      <w:proofErr w:type="spellEnd"/>
      <w:r>
        <w:rPr>
          <w:rFonts w:ascii="Verdana" w:hAnsi="Verdana"/>
          <w:color w:val="000000"/>
          <w:sz w:val="26"/>
          <w:szCs w:val="26"/>
        </w:rPr>
        <w:t xml:space="preserve"> de </w:t>
      </w:r>
      <w:proofErr w:type="spellStart"/>
      <w:r>
        <w:rPr>
          <w:rFonts w:ascii="Verdana" w:hAnsi="Verdana"/>
          <w:color w:val="000000"/>
          <w:sz w:val="26"/>
          <w:szCs w:val="26"/>
        </w:rPr>
        <w:t>Organismos</w:t>
      </w:r>
      <w:proofErr w:type="spellEnd"/>
      <w:r>
        <w:rPr>
          <w:rFonts w:ascii="Verdana" w:hAnsi="Verdana"/>
          <w:color w:val="000000"/>
          <w:sz w:val="26"/>
          <w:szCs w:val="26"/>
        </w:rPr>
        <w:t xml:space="preserve"> </w:t>
      </w:r>
      <w:proofErr w:type="spellStart"/>
      <w:r>
        <w:rPr>
          <w:rFonts w:ascii="Verdana" w:hAnsi="Verdana"/>
          <w:color w:val="000000"/>
          <w:sz w:val="26"/>
          <w:szCs w:val="26"/>
        </w:rPr>
        <w:t>Autónomos</w:t>
      </w:r>
      <w:proofErr w:type="spellEnd"/>
    </w:p>
    <w:p w14:paraId="3AF8F72C" w14:textId="77777777" w:rsidR="000E2A9E" w:rsidRDefault="000E2A9E" w:rsidP="000E2A9E">
      <w:pPr>
        <w:pStyle w:val="NormalWeb"/>
        <w:numPr>
          <w:ilvl w:val="0"/>
          <w:numId w:val="5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16 de diciembre de 2025, de la Secretaría de Estado de Función Pública, por la que se modifica la composición del Tribunal calificador del proceso selectivo para el acceso a la Escala de Gestión de Organismos Autónomos para el cambio de régimen jurídico del personal laboral fijo incluido en el Anexo II del IV Convenio Único para el personal laboral de la </w:t>
      </w:r>
      <w:r>
        <w:rPr>
          <w:rFonts w:ascii="Verdana" w:hAnsi="Verdana"/>
          <w:color w:val="000000"/>
          <w:sz w:val="21"/>
          <w:szCs w:val="21"/>
        </w:rPr>
        <w:lastRenderedPageBreak/>
        <w:t>Administración General del Estado, convocado por Resolución de 21 de abril de 2025.</w:t>
      </w:r>
    </w:p>
    <w:p w14:paraId="7C2F2E8B" w14:textId="77777777" w:rsidR="000E2A9E" w:rsidRDefault="000E2A9E" w:rsidP="000E2A9E">
      <w:pPr>
        <w:pStyle w:val="puntopdf"/>
        <w:numPr>
          <w:ilvl w:val="1"/>
          <w:numId w:val="50"/>
        </w:numPr>
        <w:shd w:val="clear" w:color="auto" w:fill="F8F8F8"/>
        <w:spacing w:before="0" w:after="0"/>
        <w:ind w:left="1680" w:right="240"/>
        <w:rPr>
          <w:rFonts w:ascii="Verdana" w:hAnsi="Verdana"/>
          <w:color w:val="000000"/>
          <w:sz w:val="22"/>
          <w:szCs w:val="22"/>
        </w:rPr>
      </w:pPr>
      <w:hyperlink r:id="rId22" w:tooltip="PDF firmado BOE-A-2025-26571" w:history="1">
        <w:r>
          <w:rPr>
            <w:rStyle w:val="Hipervnculo"/>
            <w:rFonts w:ascii="Verdana" w:hAnsi="Verdana"/>
            <w:sz w:val="22"/>
            <w:szCs w:val="22"/>
          </w:rPr>
          <w:t>PDF (BOE-A-2025-26571 - 1 pág. - 188 KB)</w:t>
        </w:r>
      </w:hyperlink>
    </w:p>
    <w:p w14:paraId="23B7091B" w14:textId="77777777" w:rsidR="000E2A9E" w:rsidRDefault="000E2A9E" w:rsidP="000E2A9E">
      <w:pPr>
        <w:pStyle w:val="puntohtml"/>
        <w:numPr>
          <w:ilvl w:val="1"/>
          <w:numId w:val="50"/>
        </w:numPr>
        <w:shd w:val="clear" w:color="auto" w:fill="F8F8F8"/>
        <w:spacing w:before="0" w:after="0"/>
        <w:ind w:left="1680" w:right="240"/>
        <w:rPr>
          <w:rFonts w:ascii="Verdana" w:hAnsi="Verdana"/>
          <w:color w:val="000000"/>
          <w:sz w:val="22"/>
          <w:szCs w:val="22"/>
        </w:rPr>
      </w:pPr>
      <w:hyperlink r:id="rId23" w:tooltip="Versión HTML BOE-A-2025-26571" w:history="1">
        <w:r>
          <w:rPr>
            <w:rStyle w:val="Hipervnculo"/>
            <w:rFonts w:ascii="Verdana" w:hAnsi="Verdana"/>
            <w:sz w:val="22"/>
            <w:szCs w:val="22"/>
          </w:rPr>
          <w:t>Otros formatos</w:t>
        </w:r>
      </w:hyperlink>
    </w:p>
    <w:p w14:paraId="1D1E6A65" w14:textId="35DDE6F8" w:rsidR="00FB346C" w:rsidRDefault="00FB346C" w:rsidP="00FB346C">
      <w:pPr>
        <w:rPr>
          <w:rFonts w:ascii="Times New Roman" w:hAnsi="Times New Roman"/>
          <w:b/>
          <w:u w:val="single"/>
          <w:lang w:val="es-ES"/>
        </w:rPr>
      </w:pPr>
      <w:r>
        <w:rPr>
          <w:rFonts w:ascii="Times New Roman" w:hAnsi="Times New Roman"/>
          <w:b/>
          <w:u w:val="single"/>
          <w:lang w:val="es-ES"/>
        </w:rPr>
        <w:t>VIERNES 26</w:t>
      </w:r>
    </w:p>
    <w:p w14:paraId="4C2F3A7B" w14:textId="77777777" w:rsidR="000E2A9E" w:rsidRDefault="000E2A9E" w:rsidP="000E2A9E">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AE36251" w14:textId="77777777" w:rsidR="000E2A9E" w:rsidRDefault="000E2A9E" w:rsidP="000E2A9E">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103F8AE8" w14:textId="77777777" w:rsidR="000E2A9E" w:rsidRDefault="000E2A9E" w:rsidP="000E2A9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Contratación</w:t>
      </w:r>
      <w:proofErr w:type="spellEnd"/>
      <w:r>
        <w:rPr>
          <w:rFonts w:ascii="Verdana" w:hAnsi="Verdana"/>
          <w:color w:val="000000"/>
          <w:sz w:val="26"/>
          <w:szCs w:val="26"/>
        </w:rPr>
        <w:t xml:space="preserve"> </w:t>
      </w:r>
      <w:proofErr w:type="spellStart"/>
      <w:r>
        <w:rPr>
          <w:rFonts w:ascii="Verdana" w:hAnsi="Verdana"/>
          <w:color w:val="000000"/>
          <w:sz w:val="26"/>
          <w:szCs w:val="26"/>
        </w:rPr>
        <w:t>administrativa</w:t>
      </w:r>
      <w:proofErr w:type="spellEnd"/>
    </w:p>
    <w:p w14:paraId="70C092B6" w14:textId="77777777" w:rsidR="000E2A9E" w:rsidRDefault="000E2A9E" w:rsidP="000E2A9E">
      <w:pPr>
        <w:pStyle w:val="NormalWeb"/>
        <w:numPr>
          <w:ilvl w:val="0"/>
          <w:numId w:val="5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HAC/1517/2025, de 18 de diciembre, por la que se publican los límites de los distintos tipos de contratos a efectos de la contratación del sector público a partir del 1 de enero de 2026.</w:t>
      </w:r>
    </w:p>
    <w:p w14:paraId="26C9454F" w14:textId="77777777" w:rsidR="000E2A9E" w:rsidRDefault="000E2A9E" w:rsidP="000E2A9E">
      <w:pPr>
        <w:pStyle w:val="puntopdf"/>
        <w:numPr>
          <w:ilvl w:val="1"/>
          <w:numId w:val="51"/>
        </w:numPr>
        <w:shd w:val="clear" w:color="auto" w:fill="F8F8F8"/>
        <w:spacing w:before="0" w:after="0"/>
        <w:ind w:left="1680" w:right="240"/>
        <w:rPr>
          <w:rFonts w:ascii="Verdana" w:hAnsi="Verdana"/>
          <w:color w:val="000000"/>
          <w:sz w:val="22"/>
          <w:szCs w:val="22"/>
        </w:rPr>
      </w:pPr>
      <w:hyperlink r:id="rId24" w:tooltip="PDF firmado BOE-A-2025-26605" w:history="1">
        <w:r>
          <w:rPr>
            <w:rStyle w:val="Hipervnculo"/>
            <w:rFonts w:ascii="Verdana" w:hAnsi="Verdana"/>
            <w:sz w:val="22"/>
            <w:szCs w:val="22"/>
          </w:rPr>
          <w:t>PDF (BOE-A-2025-26605 - 2 págs. - 194 KB)</w:t>
        </w:r>
      </w:hyperlink>
    </w:p>
    <w:p w14:paraId="1EF05955" w14:textId="77777777" w:rsidR="000E2A9E" w:rsidRDefault="000E2A9E" w:rsidP="000E2A9E">
      <w:pPr>
        <w:pStyle w:val="puntohtml"/>
        <w:numPr>
          <w:ilvl w:val="1"/>
          <w:numId w:val="51"/>
        </w:numPr>
        <w:shd w:val="clear" w:color="auto" w:fill="F8F8F8"/>
        <w:spacing w:before="0" w:after="0"/>
        <w:ind w:left="1680" w:right="240"/>
        <w:rPr>
          <w:rFonts w:ascii="Verdana" w:hAnsi="Verdana"/>
          <w:color w:val="000000"/>
          <w:sz w:val="22"/>
          <w:szCs w:val="22"/>
        </w:rPr>
      </w:pPr>
      <w:hyperlink r:id="rId25" w:tooltip="Versión HTML BOE-A-2025-26605" w:history="1">
        <w:r>
          <w:rPr>
            <w:rStyle w:val="Hipervnculo"/>
            <w:rFonts w:ascii="Verdana" w:hAnsi="Verdana"/>
            <w:sz w:val="22"/>
            <w:szCs w:val="22"/>
          </w:rPr>
          <w:t>Otros formatos</w:t>
        </w:r>
      </w:hyperlink>
    </w:p>
    <w:p w14:paraId="059FCF66" w14:textId="77777777" w:rsidR="000E2A9E" w:rsidRDefault="000E2A9E" w:rsidP="000E2A9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Estabilidad</w:t>
      </w:r>
      <w:proofErr w:type="spellEnd"/>
      <w:r>
        <w:rPr>
          <w:rFonts w:ascii="Verdana" w:hAnsi="Verdana"/>
          <w:color w:val="000000"/>
          <w:sz w:val="26"/>
          <w:szCs w:val="26"/>
        </w:rPr>
        <w:t xml:space="preserve"> </w:t>
      </w:r>
      <w:proofErr w:type="spellStart"/>
      <w:r>
        <w:rPr>
          <w:rFonts w:ascii="Verdana" w:hAnsi="Verdana"/>
          <w:color w:val="000000"/>
          <w:sz w:val="26"/>
          <w:szCs w:val="26"/>
        </w:rPr>
        <w:t>presupuestaria</w:t>
      </w:r>
      <w:proofErr w:type="spellEnd"/>
      <w:r>
        <w:rPr>
          <w:rFonts w:ascii="Verdana" w:hAnsi="Verdana"/>
          <w:color w:val="000000"/>
          <w:sz w:val="26"/>
          <w:szCs w:val="26"/>
        </w:rPr>
        <w:t xml:space="preserve"> y </w:t>
      </w:r>
      <w:proofErr w:type="spellStart"/>
      <w:r>
        <w:rPr>
          <w:rFonts w:ascii="Verdana" w:hAnsi="Verdana"/>
          <w:color w:val="000000"/>
          <w:sz w:val="26"/>
          <w:szCs w:val="26"/>
        </w:rPr>
        <w:t>sostenibilidad</w:t>
      </w:r>
      <w:proofErr w:type="spellEnd"/>
      <w:r>
        <w:rPr>
          <w:rFonts w:ascii="Verdana" w:hAnsi="Verdana"/>
          <w:color w:val="000000"/>
          <w:sz w:val="26"/>
          <w:szCs w:val="26"/>
        </w:rPr>
        <w:t xml:space="preserve"> </w:t>
      </w:r>
      <w:proofErr w:type="spellStart"/>
      <w:r>
        <w:rPr>
          <w:rFonts w:ascii="Verdana" w:hAnsi="Verdana"/>
          <w:color w:val="000000"/>
          <w:sz w:val="26"/>
          <w:szCs w:val="26"/>
        </w:rPr>
        <w:t>financiera</w:t>
      </w:r>
      <w:proofErr w:type="spellEnd"/>
    </w:p>
    <w:p w14:paraId="5EE43466" w14:textId="77777777" w:rsidR="000E2A9E" w:rsidRDefault="000E2A9E" w:rsidP="000E2A9E">
      <w:pPr>
        <w:pStyle w:val="NormalWeb"/>
        <w:numPr>
          <w:ilvl w:val="0"/>
          <w:numId w:val="5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HAC/1518/2025, de 22 de diciembre, por la que se modifica la Orden HAP/2105/2012, de 1 de octubre, por la que se desarrollan las obligaciones de suministro de información previstas en la Ley Orgánica 2/2012, de 27 de abril, de Estabilidad Presupuestaria y Sostenibilidad Financiera.</w:t>
      </w:r>
    </w:p>
    <w:p w14:paraId="73BB1DAB" w14:textId="77777777" w:rsidR="000E2A9E" w:rsidRDefault="000E2A9E" w:rsidP="000E2A9E">
      <w:pPr>
        <w:pStyle w:val="puntopdf"/>
        <w:numPr>
          <w:ilvl w:val="1"/>
          <w:numId w:val="52"/>
        </w:numPr>
        <w:shd w:val="clear" w:color="auto" w:fill="F8F8F8"/>
        <w:spacing w:before="0" w:after="0"/>
        <w:ind w:left="1680" w:right="240"/>
        <w:rPr>
          <w:rFonts w:ascii="Verdana" w:hAnsi="Verdana"/>
          <w:color w:val="000000"/>
          <w:sz w:val="22"/>
          <w:szCs w:val="22"/>
        </w:rPr>
      </w:pPr>
      <w:hyperlink r:id="rId26" w:tooltip="PDF firmado BOE-A-2025-26606" w:history="1">
        <w:r>
          <w:rPr>
            <w:rStyle w:val="Hipervnculo"/>
            <w:rFonts w:ascii="Verdana" w:hAnsi="Verdana"/>
            <w:sz w:val="22"/>
            <w:szCs w:val="22"/>
          </w:rPr>
          <w:t>PDF (BOE-A-2025-26606 - 10 págs. - 254 KB)</w:t>
        </w:r>
      </w:hyperlink>
    </w:p>
    <w:p w14:paraId="593CC696" w14:textId="77777777" w:rsidR="000E2A9E" w:rsidRDefault="000E2A9E" w:rsidP="000E2A9E">
      <w:pPr>
        <w:pStyle w:val="puntohtml"/>
        <w:numPr>
          <w:ilvl w:val="1"/>
          <w:numId w:val="52"/>
        </w:numPr>
        <w:shd w:val="clear" w:color="auto" w:fill="F8F8F8"/>
        <w:spacing w:before="0" w:after="0"/>
        <w:ind w:left="1680" w:right="240"/>
        <w:rPr>
          <w:rFonts w:ascii="Verdana" w:hAnsi="Verdana"/>
          <w:color w:val="000000"/>
          <w:sz w:val="22"/>
          <w:szCs w:val="22"/>
        </w:rPr>
      </w:pPr>
      <w:hyperlink r:id="rId27" w:tooltip="Versión HTML BOE-A-2025-26606" w:history="1">
        <w:r>
          <w:rPr>
            <w:rStyle w:val="Hipervnculo"/>
            <w:rFonts w:ascii="Verdana" w:hAnsi="Verdana"/>
            <w:sz w:val="22"/>
            <w:szCs w:val="22"/>
          </w:rPr>
          <w:t>Otros formatos</w:t>
        </w:r>
      </w:hyperlink>
    </w:p>
    <w:p w14:paraId="0B9B4389" w14:textId="77777777" w:rsidR="000E2A9E" w:rsidRDefault="000E2A9E" w:rsidP="000E2A9E">
      <w:pPr>
        <w:pStyle w:val="Ttulo5"/>
        <w:spacing w:before="240" w:beforeAutospacing="0" w:after="0" w:afterAutospacing="0"/>
        <w:rPr>
          <w:rFonts w:ascii="Verdana" w:hAnsi="Verdana"/>
          <w:color w:val="000000"/>
          <w:sz w:val="26"/>
          <w:szCs w:val="26"/>
        </w:rPr>
      </w:pPr>
      <w:r>
        <w:rPr>
          <w:rFonts w:ascii="Verdana" w:hAnsi="Verdana"/>
          <w:color w:val="000000"/>
          <w:sz w:val="26"/>
          <w:szCs w:val="26"/>
        </w:rPr>
        <w:t>Organización</w:t>
      </w:r>
    </w:p>
    <w:p w14:paraId="5E7A867B" w14:textId="77777777" w:rsidR="000E2A9E" w:rsidRDefault="000E2A9E" w:rsidP="000E2A9E">
      <w:pPr>
        <w:pStyle w:val="NormalWeb"/>
        <w:numPr>
          <w:ilvl w:val="0"/>
          <w:numId w:val="5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17 de diciembre de 2025, de la Presidencia de la Agencia Estatal de Administración Tributaria, por la que se modifica la de 13 de enero de 2021, sobre organización y atribución de funciones en el ámbito de competencias del Departamento de Gestión Tributaria.</w:t>
      </w:r>
    </w:p>
    <w:p w14:paraId="1D8600DD" w14:textId="77777777" w:rsidR="000E2A9E" w:rsidRDefault="000E2A9E" w:rsidP="000E2A9E">
      <w:pPr>
        <w:pStyle w:val="puntopdf"/>
        <w:numPr>
          <w:ilvl w:val="1"/>
          <w:numId w:val="53"/>
        </w:numPr>
        <w:shd w:val="clear" w:color="auto" w:fill="F8F8F8"/>
        <w:spacing w:before="0" w:after="0"/>
        <w:ind w:left="1680" w:right="240"/>
        <w:rPr>
          <w:rFonts w:ascii="Verdana" w:hAnsi="Verdana"/>
          <w:color w:val="000000"/>
          <w:sz w:val="22"/>
          <w:szCs w:val="22"/>
        </w:rPr>
      </w:pPr>
      <w:hyperlink r:id="rId28" w:tooltip="PDF firmado BOE-A-2025-26607" w:history="1">
        <w:r>
          <w:rPr>
            <w:rStyle w:val="Hipervnculo"/>
            <w:rFonts w:ascii="Verdana" w:hAnsi="Verdana"/>
            <w:sz w:val="22"/>
            <w:szCs w:val="22"/>
          </w:rPr>
          <w:t>PDF (BOE-A-2025-26607 - 15 págs. - 263 KB)</w:t>
        </w:r>
      </w:hyperlink>
    </w:p>
    <w:p w14:paraId="68F31EFE" w14:textId="77777777" w:rsidR="000E2A9E" w:rsidRDefault="000E2A9E" w:rsidP="000E2A9E">
      <w:pPr>
        <w:pStyle w:val="puntohtml"/>
        <w:numPr>
          <w:ilvl w:val="1"/>
          <w:numId w:val="53"/>
        </w:numPr>
        <w:shd w:val="clear" w:color="auto" w:fill="F8F8F8"/>
        <w:spacing w:before="0" w:after="0"/>
        <w:ind w:left="1680" w:right="240"/>
        <w:rPr>
          <w:rFonts w:ascii="Verdana" w:hAnsi="Verdana"/>
          <w:color w:val="000000"/>
          <w:sz w:val="22"/>
          <w:szCs w:val="22"/>
        </w:rPr>
      </w:pPr>
      <w:hyperlink r:id="rId29" w:tooltip="Versión HTML BOE-A-2025-26607" w:history="1">
        <w:r>
          <w:rPr>
            <w:rStyle w:val="Hipervnculo"/>
            <w:rFonts w:ascii="Verdana" w:hAnsi="Verdana"/>
            <w:sz w:val="22"/>
            <w:szCs w:val="22"/>
          </w:rPr>
          <w:t>Otros formatos</w:t>
        </w:r>
      </w:hyperlink>
    </w:p>
    <w:p w14:paraId="2DA03A02" w14:textId="77777777" w:rsidR="000E2A9E" w:rsidRDefault="000E2A9E" w:rsidP="000E2A9E">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6A8EA0EE" w14:textId="77777777" w:rsidR="000E2A9E" w:rsidRDefault="000E2A9E" w:rsidP="000E2A9E">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7CC0B8E7" w14:textId="77777777" w:rsidR="000E2A9E" w:rsidRDefault="000E2A9E" w:rsidP="000E2A9E">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de </w:t>
      </w:r>
      <w:proofErr w:type="spellStart"/>
      <w:r>
        <w:rPr>
          <w:rFonts w:ascii="Verdana" w:hAnsi="Verdana"/>
          <w:color w:val="000000"/>
          <w:sz w:val="26"/>
          <w:szCs w:val="26"/>
        </w:rPr>
        <w:t>Agentes</w:t>
      </w:r>
      <w:proofErr w:type="spellEnd"/>
      <w:r>
        <w:rPr>
          <w:rFonts w:ascii="Verdana" w:hAnsi="Verdana"/>
          <w:color w:val="000000"/>
          <w:sz w:val="26"/>
          <w:szCs w:val="26"/>
        </w:rPr>
        <w:t xml:space="preserve"> del Servicio de </w:t>
      </w:r>
      <w:proofErr w:type="spellStart"/>
      <w:r>
        <w:rPr>
          <w:rFonts w:ascii="Verdana" w:hAnsi="Verdana"/>
          <w:color w:val="000000"/>
          <w:sz w:val="26"/>
          <w:szCs w:val="26"/>
        </w:rPr>
        <w:t>Vigilancia</w:t>
      </w:r>
      <w:proofErr w:type="spellEnd"/>
      <w:r>
        <w:rPr>
          <w:rFonts w:ascii="Verdana" w:hAnsi="Verdana"/>
          <w:color w:val="000000"/>
          <w:sz w:val="26"/>
          <w:szCs w:val="26"/>
        </w:rPr>
        <w:t xml:space="preserve"> </w:t>
      </w:r>
      <w:proofErr w:type="spellStart"/>
      <w:r>
        <w:rPr>
          <w:rFonts w:ascii="Verdana" w:hAnsi="Verdana"/>
          <w:color w:val="000000"/>
          <w:sz w:val="26"/>
          <w:szCs w:val="26"/>
        </w:rPr>
        <w:t>Aduanera</w:t>
      </w:r>
      <w:proofErr w:type="spellEnd"/>
    </w:p>
    <w:p w14:paraId="08826C15" w14:textId="77777777" w:rsidR="000E2A9E" w:rsidRDefault="000E2A9E" w:rsidP="000E2A9E">
      <w:pPr>
        <w:pStyle w:val="NormalWeb"/>
        <w:numPr>
          <w:ilvl w:val="0"/>
          <w:numId w:val="5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18 de diciembre de 2025, de la Presidencia de la Agencia Estatal de Administración Tributaria, por la que se publica la relación de personas aprobadas en la fase de oposición del proceso selectivo para ingreso, por el sistema general de acceso libre, en el Cuerpo de Agentes del Servicio de Vigilancia Aduanera, especialidades de Investigación y Marítima, convocado por Resolución de 20 de diciembre de 2024.</w:t>
      </w:r>
    </w:p>
    <w:p w14:paraId="0E792657" w14:textId="77777777" w:rsidR="000E2A9E" w:rsidRDefault="000E2A9E" w:rsidP="000E2A9E">
      <w:pPr>
        <w:pStyle w:val="puntopdf"/>
        <w:numPr>
          <w:ilvl w:val="1"/>
          <w:numId w:val="55"/>
        </w:numPr>
        <w:shd w:val="clear" w:color="auto" w:fill="F8F8F8"/>
        <w:spacing w:before="0" w:after="0"/>
        <w:ind w:left="1680" w:right="240"/>
        <w:rPr>
          <w:rFonts w:ascii="Verdana" w:hAnsi="Verdana"/>
          <w:color w:val="000000"/>
          <w:sz w:val="22"/>
          <w:szCs w:val="22"/>
        </w:rPr>
      </w:pPr>
      <w:hyperlink r:id="rId30" w:tooltip="PDF firmado BOE-A-2025-26626" w:history="1">
        <w:r>
          <w:rPr>
            <w:rStyle w:val="Hipervnculo"/>
            <w:rFonts w:ascii="Verdana" w:hAnsi="Verdana"/>
            <w:sz w:val="22"/>
            <w:szCs w:val="22"/>
          </w:rPr>
          <w:t>PDF (BOE-A-2025-26626 - 9 págs. - 383 KB)</w:t>
        </w:r>
      </w:hyperlink>
    </w:p>
    <w:p w14:paraId="70E330EC" w14:textId="77777777" w:rsidR="000E2A9E" w:rsidRDefault="000E2A9E" w:rsidP="000E2A9E">
      <w:pPr>
        <w:pStyle w:val="puntohtml"/>
        <w:numPr>
          <w:ilvl w:val="1"/>
          <w:numId w:val="55"/>
        </w:numPr>
        <w:shd w:val="clear" w:color="auto" w:fill="F8F8F8"/>
        <w:spacing w:before="0" w:after="0"/>
        <w:ind w:left="1680" w:right="240"/>
        <w:rPr>
          <w:rFonts w:ascii="Verdana" w:hAnsi="Verdana"/>
          <w:color w:val="000000"/>
          <w:sz w:val="22"/>
          <w:szCs w:val="22"/>
        </w:rPr>
      </w:pPr>
      <w:hyperlink r:id="rId31" w:tooltip="Versión HTML BOE-A-2025-26626" w:history="1">
        <w:r>
          <w:rPr>
            <w:rStyle w:val="Hipervnculo"/>
            <w:rFonts w:ascii="Verdana" w:hAnsi="Verdana"/>
            <w:sz w:val="22"/>
            <w:szCs w:val="22"/>
          </w:rPr>
          <w:t>Otros formatos</w:t>
        </w:r>
      </w:hyperlink>
    </w:p>
    <w:p w14:paraId="42C86622" w14:textId="499C962B" w:rsidR="00FB346C" w:rsidRDefault="00FB346C" w:rsidP="00FB346C">
      <w:pPr>
        <w:rPr>
          <w:rFonts w:ascii="Verdana" w:hAnsi="Verdana"/>
          <w:color w:val="000000"/>
          <w:sz w:val="22"/>
          <w:szCs w:val="22"/>
        </w:rPr>
      </w:pPr>
      <w:r>
        <w:rPr>
          <w:rFonts w:ascii="Times New Roman" w:hAnsi="Times New Roman"/>
          <w:b/>
          <w:u w:val="single"/>
          <w:lang w:val="es-ES"/>
        </w:rPr>
        <w:lastRenderedPageBreak/>
        <w:t>SÁBADO 27</w:t>
      </w:r>
    </w:p>
    <w:p w14:paraId="6B4B6F85" w14:textId="77777777" w:rsidR="00513BA5" w:rsidRDefault="00513BA5" w:rsidP="00513BA5">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F691947" w14:textId="77777777" w:rsidR="00513BA5" w:rsidRDefault="00513BA5" w:rsidP="00513BA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DFB9508" w14:textId="77777777" w:rsidR="00513BA5" w:rsidRDefault="00513BA5" w:rsidP="00513BA5">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07911E64" w14:textId="77777777" w:rsidR="00513BA5" w:rsidRDefault="00513BA5" w:rsidP="00513BA5">
      <w:pPr>
        <w:pStyle w:val="NormalWeb"/>
        <w:numPr>
          <w:ilvl w:val="0"/>
          <w:numId w:val="5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diciembre de 2025, de la Presidencia del Comisionado para el Mercado de Tabacos, por la que se publican los precios de venta al público de determinadas labores de tabaco en Expendedurías de Tabaco y Timbre del área del Monopolio.</w:t>
      </w:r>
    </w:p>
    <w:p w14:paraId="65478492" w14:textId="77777777" w:rsidR="00513BA5" w:rsidRDefault="00513BA5" w:rsidP="00513BA5">
      <w:pPr>
        <w:pStyle w:val="puntopdf"/>
        <w:numPr>
          <w:ilvl w:val="1"/>
          <w:numId w:val="56"/>
        </w:numPr>
        <w:shd w:val="clear" w:color="auto" w:fill="F8F8F8"/>
        <w:spacing w:before="0" w:after="0"/>
        <w:ind w:left="1680" w:right="240"/>
        <w:rPr>
          <w:rFonts w:ascii="Verdana" w:hAnsi="Verdana"/>
          <w:color w:val="000000"/>
          <w:sz w:val="22"/>
          <w:szCs w:val="22"/>
        </w:rPr>
      </w:pPr>
      <w:hyperlink r:id="rId32" w:tooltip="PDF firmado BOE-A-2025-26700" w:history="1">
        <w:r>
          <w:rPr>
            <w:rStyle w:val="Hipervnculo"/>
            <w:rFonts w:ascii="Verdana" w:hAnsi="Verdana"/>
            <w:sz w:val="22"/>
            <w:szCs w:val="22"/>
          </w:rPr>
          <w:t>PDF (BOE-A-2025-26700 - 5 págs. - 260 KB)</w:t>
        </w:r>
      </w:hyperlink>
    </w:p>
    <w:p w14:paraId="6C111EC3" w14:textId="77777777" w:rsidR="00513BA5" w:rsidRDefault="00513BA5" w:rsidP="00513BA5">
      <w:pPr>
        <w:pStyle w:val="puntohtml"/>
        <w:numPr>
          <w:ilvl w:val="1"/>
          <w:numId w:val="56"/>
        </w:numPr>
        <w:shd w:val="clear" w:color="auto" w:fill="F8F8F8"/>
        <w:spacing w:before="0" w:after="0"/>
        <w:ind w:left="1680" w:right="240"/>
        <w:rPr>
          <w:rFonts w:ascii="Verdana" w:hAnsi="Verdana"/>
          <w:color w:val="000000"/>
          <w:sz w:val="22"/>
          <w:szCs w:val="22"/>
        </w:rPr>
      </w:pPr>
      <w:hyperlink r:id="rId33" w:tooltip="Versión HTML BOE-A-2025-26700"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34"/>
      <w:footerReference w:type="default" r:id="rId35"/>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A182" w14:textId="77777777" w:rsidR="00587260" w:rsidRDefault="00587260">
      <w:r>
        <w:separator/>
      </w:r>
    </w:p>
  </w:endnote>
  <w:endnote w:type="continuationSeparator" w:id="0">
    <w:p w14:paraId="3A96FF30" w14:textId="77777777" w:rsidR="00587260" w:rsidRDefault="0058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105A" w14:textId="77777777" w:rsidR="00587260" w:rsidRDefault="00587260">
      <w:r>
        <w:separator/>
      </w:r>
    </w:p>
  </w:footnote>
  <w:footnote w:type="continuationSeparator" w:id="0">
    <w:p w14:paraId="6C48E940" w14:textId="77777777" w:rsidR="00587260" w:rsidRDefault="0058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9B6"/>
    <w:multiLevelType w:val="multilevel"/>
    <w:tmpl w:val="9066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157CB"/>
    <w:multiLevelType w:val="multilevel"/>
    <w:tmpl w:val="7EBE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E7634"/>
    <w:multiLevelType w:val="multilevel"/>
    <w:tmpl w:val="0704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F217A"/>
    <w:multiLevelType w:val="multilevel"/>
    <w:tmpl w:val="0224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73FFF"/>
    <w:multiLevelType w:val="multilevel"/>
    <w:tmpl w:val="B16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11CF7"/>
    <w:multiLevelType w:val="multilevel"/>
    <w:tmpl w:val="ABC2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40246"/>
    <w:multiLevelType w:val="multilevel"/>
    <w:tmpl w:val="EBA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92500"/>
    <w:multiLevelType w:val="multilevel"/>
    <w:tmpl w:val="2EF4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45A65"/>
    <w:multiLevelType w:val="multilevel"/>
    <w:tmpl w:val="325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C442D"/>
    <w:multiLevelType w:val="multilevel"/>
    <w:tmpl w:val="6ADE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2084D"/>
    <w:multiLevelType w:val="multilevel"/>
    <w:tmpl w:val="636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E0F79"/>
    <w:multiLevelType w:val="multilevel"/>
    <w:tmpl w:val="B002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73100"/>
    <w:multiLevelType w:val="multilevel"/>
    <w:tmpl w:val="378A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C530C"/>
    <w:multiLevelType w:val="multilevel"/>
    <w:tmpl w:val="547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1554F"/>
    <w:multiLevelType w:val="multilevel"/>
    <w:tmpl w:val="11F8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F032B"/>
    <w:multiLevelType w:val="multilevel"/>
    <w:tmpl w:val="840C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70FD0"/>
    <w:multiLevelType w:val="multilevel"/>
    <w:tmpl w:val="9900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E0D32"/>
    <w:multiLevelType w:val="multilevel"/>
    <w:tmpl w:val="B9CA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26F26"/>
    <w:multiLevelType w:val="multilevel"/>
    <w:tmpl w:val="845C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65BEB"/>
    <w:multiLevelType w:val="multilevel"/>
    <w:tmpl w:val="00CE1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77D42"/>
    <w:multiLevelType w:val="multilevel"/>
    <w:tmpl w:val="55A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E16EE"/>
    <w:multiLevelType w:val="multilevel"/>
    <w:tmpl w:val="A1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A2CC6"/>
    <w:multiLevelType w:val="multilevel"/>
    <w:tmpl w:val="E486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B7CC6"/>
    <w:multiLevelType w:val="multilevel"/>
    <w:tmpl w:val="F784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0FAC"/>
    <w:multiLevelType w:val="multilevel"/>
    <w:tmpl w:val="CC92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44BEB"/>
    <w:multiLevelType w:val="multilevel"/>
    <w:tmpl w:val="8598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00B5D"/>
    <w:multiLevelType w:val="multilevel"/>
    <w:tmpl w:val="48B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53F53"/>
    <w:multiLevelType w:val="multilevel"/>
    <w:tmpl w:val="0BC26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C5411"/>
    <w:multiLevelType w:val="multilevel"/>
    <w:tmpl w:val="A53E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34096"/>
    <w:multiLevelType w:val="multilevel"/>
    <w:tmpl w:val="D960C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53C30"/>
    <w:multiLevelType w:val="multilevel"/>
    <w:tmpl w:val="563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8640C"/>
    <w:multiLevelType w:val="multilevel"/>
    <w:tmpl w:val="E07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01F73"/>
    <w:multiLevelType w:val="multilevel"/>
    <w:tmpl w:val="6D6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622B20"/>
    <w:multiLevelType w:val="multilevel"/>
    <w:tmpl w:val="379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2C2A63"/>
    <w:multiLevelType w:val="multilevel"/>
    <w:tmpl w:val="B1E2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7B0CA5"/>
    <w:multiLevelType w:val="multilevel"/>
    <w:tmpl w:val="9C94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BD3C51"/>
    <w:multiLevelType w:val="multilevel"/>
    <w:tmpl w:val="5248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730FA"/>
    <w:multiLevelType w:val="multilevel"/>
    <w:tmpl w:val="2AB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DD501C"/>
    <w:multiLevelType w:val="multilevel"/>
    <w:tmpl w:val="2668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E97BFD"/>
    <w:multiLevelType w:val="multilevel"/>
    <w:tmpl w:val="B2C0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48"/>
  </w:num>
  <w:num w:numId="2" w16cid:durableId="1464301111">
    <w:abstractNumId w:val="2"/>
  </w:num>
  <w:num w:numId="3" w16cid:durableId="178544479">
    <w:abstractNumId w:val="10"/>
  </w:num>
  <w:num w:numId="4" w16cid:durableId="1570068348">
    <w:abstractNumId w:val="38"/>
  </w:num>
  <w:num w:numId="5" w16cid:durableId="1249264754">
    <w:abstractNumId w:val="49"/>
  </w:num>
  <w:num w:numId="6" w16cid:durableId="490145639">
    <w:abstractNumId w:val="42"/>
  </w:num>
  <w:num w:numId="7" w16cid:durableId="581448625">
    <w:abstractNumId w:val="32"/>
  </w:num>
  <w:num w:numId="8" w16cid:durableId="29114834">
    <w:abstractNumId w:val="15"/>
  </w:num>
  <w:num w:numId="9" w16cid:durableId="912086407">
    <w:abstractNumId w:val="46"/>
  </w:num>
  <w:num w:numId="10" w16cid:durableId="2022006716">
    <w:abstractNumId w:val="25"/>
  </w:num>
  <w:num w:numId="11" w16cid:durableId="1377579123">
    <w:abstractNumId w:val="1"/>
  </w:num>
  <w:num w:numId="12" w16cid:durableId="1719208963">
    <w:abstractNumId w:val="35"/>
  </w:num>
  <w:num w:numId="13" w16cid:durableId="1339692521">
    <w:abstractNumId w:val="45"/>
  </w:num>
  <w:num w:numId="14" w16cid:durableId="83890431">
    <w:abstractNumId w:val="4"/>
  </w:num>
  <w:num w:numId="15" w16cid:durableId="468744668">
    <w:abstractNumId w:val="37"/>
  </w:num>
  <w:num w:numId="16" w16cid:durableId="2087679825">
    <w:abstractNumId w:val="28"/>
  </w:num>
  <w:num w:numId="17" w16cid:durableId="972516349">
    <w:abstractNumId w:val="24"/>
  </w:num>
  <w:num w:numId="18" w16cid:durableId="2053528920">
    <w:abstractNumId w:val="12"/>
  </w:num>
  <w:num w:numId="19" w16cid:durableId="1875264316">
    <w:abstractNumId w:val="19"/>
  </w:num>
  <w:num w:numId="20" w16cid:durableId="1181354332">
    <w:abstractNumId w:val="41"/>
  </w:num>
  <w:num w:numId="21" w16cid:durableId="1549225414">
    <w:abstractNumId w:val="31"/>
  </w:num>
  <w:num w:numId="22" w16cid:durableId="276059771">
    <w:abstractNumId w:val="34"/>
  </w:num>
  <w:num w:numId="23" w16cid:durableId="387725995">
    <w:abstractNumId w:val="44"/>
  </w:num>
  <w:num w:numId="24" w16cid:durableId="1281448040">
    <w:abstractNumId w:val="54"/>
  </w:num>
  <w:num w:numId="25" w16cid:durableId="2097091055">
    <w:abstractNumId w:val="27"/>
  </w:num>
  <w:num w:numId="26" w16cid:durableId="1502890585">
    <w:abstractNumId w:val="47"/>
  </w:num>
  <w:num w:numId="27" w16cid:durableId="712582501">
    <w:abstractNumId w:val="22"/>
  </w:num>
  <w:num w:numId="28" w16cid:durableId="927075997">
    <w:abstractNumId w:val="18"/>
  </w:num>
  <w:num w:numId="29" w16cid:durableId="758217321">
    <w:abstractNumId w:val="36"/>
  </w:num>
  <w:num w:numId="30" w16cid:durableId="390277203">
    <w:abstractNumId w:val="33"/>
  </w:num>
  <w:num w:numId="31" w16cid:durableId="1792439594">
    <w:abstractNumId w:val="29"/>
  </w:num>
  <w:num w:numId="32" w16cid:durableId="1922252178">
    <w:abstractNumId w:val="13"/>
  </w:num>
  <w:num w:numId="33" w16cid:durableId="521281700">
    <w:abstractNumId w:val="20"/>
  </w:num>
  <w:num w:numId="34" w16cid:durableId="992222192">
    <w:abstractNumId w:val="51"/>
  </w:num>
  <w:num w:numId="35" w16cid:durableId="545414238">
    <w:abstractNumId w:val="17"/>
  </w:num>
  <w:num w:numId="36" w16cid:durableId="1172647659">
    <w:abstractNumId w:val="55"/>
  </w:num>
  <w:num w:numId="37" w16cid:durableId="366762698">
    <w:abstractNumId w:val="8"/>
  </w:num>
  <w:num w:numId="38" w16cid:durableId="410976925">
    <w:abstractNumId w:val="0"/>
  </w:num>
  <w:num w:numId="39" w16cid:durableId="1306160947">
    <w:abstractNumId w:val="30"/>
  </w:num>
  <w:num w:numId="40" w16cid:durableId="1533495450">
    <w:abstractNumId w:val="7"/>
  </w:num>
  <w:num w:numId="41" w16cid:durableId="411466245">
    <w:abstractNumId w:val="52"/>
  </w:num>
  <w:num w:numId="42" w16cid:durableId="1625305076">
    <w:abstractNumId w:val="39"/>
  </w:num>
  <w:num w:numId="43" w16cid:durableId="691346844">
    <w:abstractNumId w:val="23"/>
  </w:num>
  <w:num w:numId="44" w16cid:durableId="1825463167">
    <w:abstractNumId w:val="6"/>
  </w:num>
  <w:num w:numId="45" w16cid:durableId="1364670865">
    <w:abstractNumId w:val="43"/>
  </w:num>
  <w:num w:numId="46" w16cid:durableId="763264206">
    <w:abstractNumId w:val="9"/>
  </w:num>
  <w:num w:numId="47" w16cid:durableId="844898559">
    <w:abstractNumId w:val="16"/>
  </w:num>
  <w:num w:numId="48" w16cid:durableId="1957177840">
    <w:abstractNumId w:val="40"/>
  </w:num>
  <w:num w:numId="49" w16cid:durableId="1558974055">
    <w:abstractNumId w:val="5"/>
  </w:num>
  <w:num w:numId="50" w16cid:durableId="255290125">
    <w:abstractNumId w:val="50"/>
  </w:num>
  <w:num w:numId="51" w16cid:durableId="659311001">
    <w:abstractNumId w:val="11"/>
  </w:num>
  <w:num w:numId="52" w16cid:durableId="20282027">
    <w:abstractNumId w:val="14"/>
  </w:num>
  <w:num w:numId="53" w16cid:durableId="886262389">
    <w:abstractNumId w:val="21"/>
  </w:num>
  <w:num w:numId="54" w16cid:durableId="1884710865">
    <w:abstractNumId w:val="26"/>
  </w:num>
  <w:num w:numId="55" w16cid:durableId="698160196">
    <w:abstractNumId w:val="53"/>
  </w:num>
  <w:num w:numId="56" w16cid:durableId="149653076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413"/>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57D5"/>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765"/>
    <w:rsid w:val="00563382"/>
    <w:rsid w:val="0056347B"/>
    <w:rsid w:val="005638C2"/>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0"/>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AE3"/>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6684"/>
    <w:rsid w:val="00947131"/>
    <w:rsid w:val="009475D6"/>
    <w:rsid w:val="00947740"/>
    <w:rsid w:val="00947C1C"/>
    <w:rsid w:val="00950901"/>
    <w:rsid w:val="00950CDE"/>
    <w:rsid w:val="00951D21"/>
    <w:rsid w:val="00951E84"/>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49EC"/>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78"/>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5E5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3DEF"/>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5E77"/>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3C27"/>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5-26217" TargetMode="External"/><Relationship Id="rId18" Type="http://schemas.openxmlformats.org/officeDocument/2006/relationships/hyperlink" Target="https://www.boe.es/boe/dias/2025/12/23/pdfs/BOE-A-2025-26357.pdf" TargetMode="External"/><Relationship Id="rId26" Type="http://schemas.openxmlformats.org/officeDocument/2006/relationships/hyperlink" Target="https://www.boe.es/boe/dias/2025/12/26/pdfs/BOE-A-2025-26606.pdf" TargetMode="External"/><Relationship Id="rId21" Type="http://schemas.openxmlformats.org/officeDocument/2006/relationships/hyperlink" Target="https://www.boe.es/diario_boe/txt.php?id=BOE-A-2025-26458"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oe.es/boe/dias/2025/12/22/pdfs/BOE-A-2025-26217.pdf" TargetMode="External"/><Relationship Id="rId17" Type="http://schemas.openxmlformats.org/officeDocument/2006/relationships/hyperlink" Target="https://www.boe.es/diario_boe/txt.php?id=BOE-A-2025-26262" TargetMode="External"/><Relationship Id="rId25" Type="http://schemas.openxmlformats.org/officeDocument/2006/relationships/hyperlink" Target="https://www.boe.es/diario_boe/txt.php?id=BOE-A-2025-26605" TargetMode="External"/><Relationship Id="rId33" Type="http://schemas.openxmlformats.org/officeDocument/2006/relationships/hyperlink" Target="https://www.boe.es/diario_boe/txt.php?id=BOE-A-2025-26700" TargetMode="External"/><Relationship Id="rId2" Type="http://schemas.openxmlformats.org/officeDocument/2006/relationships/customXml" Target="../customXml/item2.xml"/><Relationship Id="rId16" Type="http://schemas.openxmlformats.org/officeDocument/2006/relationships/hyperlink" Target="https://www.boe.es/boe/dias/2025/12/22/pdfs/BOE-A-2025-26262.pdf" TargetMode="External"/><Relationship Id="rId20" Type="http://schemas.openxmlformats.org/officeDocument/2006/relationships/hyperlink" Target="https://www.boe.es/boe/dias/2025/12/24/pdfs/BOE-A-2025-26458.pdf" TargetMode="External"/><Relationship Id="rId29" Type="http://schemas.openxmlformats.org/officeDocument/2006/relationships/hyperlink" Target="https://www.boe.es/diario_boe/txt.php?id=BOE-A-2025-266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6216" TargetMode="External"/><Relationship Id="rId24" Type="http://schemas.openxmlformats.org/officeDocument/2006/relationships/hyperlink" Target="https://www.boe.es/boe/dias/2025/12/26/pdfs/BOE-A-2025-26605.pdf" TargetMode="External"/><Relationship Id="rId32" Type="http://schemas.openxmlformats.org/officeDocument/2006/relationships/hyperlink" Target="https://www.boe.es/boe/dias/2025/12/27/pdfs/BOE-A-2025-26700.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oe.es/diario_boe/txt.php?id=BOE-A-2025-26218" TargetMode="External"/><Relationship Id="rId23" Type="http://schemas.openxmlformats.org/officeDocument/2006/relationships/hyperlink" Target="https://www.boe.es/diario_boe/txt.php?id=BOE-A-2025-26571" TargetMode="External"/><Relationship Id="rId28" Type="http://schemas.openxmlformats.org/officeDocument/2006/relationships/hyperlink" Target="https://www.boe.es/boe/dias/2025/12/26/pdfs/BOE-A-2025-26607.pdf" TargetMode="External"/><Relationship Id="rId36" Type="http://schemas.openxmlformats.org/officeDocument/2006/relationships/fontTable" Target="fontTable.xml"/><Relationship Id="rId10" Type="http://schemas.openxmlformats.org/officeDocument/2006/relationships/hyperlink" Target="https://www.boe.es/boe/dias/2025/12/22/pdfs/BOE-A-2025-26216.pdf" TargetMode="External"/><Relationship Id="rId19" Type="http://schemas.openxmlformats.org/officeDocument/2006/relationships/hyperlink" Target="https://www.boe.es/diario_boe/txt.php?id=BOE-A-2025-26357" TargetMode="External"/><Relationship Id="rId31" Type="http://schemas.openxmlformats.org/officeDocument/2006/relationships/hyperlink" Target="https://www.boe.es/diario_boe/txt.php?id=BOE-A-2025-266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2/22/pdfs/BOE-A-2025-26218.pdf" TargetMode="External"/><Relationship Id="rId22" Type="http://schemas.openxmlformats.org/officeDocument/2006/relationships/hyperlink" Target="https://www.boe.es/boe/dias/2025/12/25/pdfs/BOE-A-2025-26571.pdf" TargetMode="External"/><Relationship Id="rId27" Type="http://schemas.openxmlformats.org/officeDocument/2006/relationships/hyperlink" Target="https://www.boe.es/diario_boe/txt.php?id=BOE-A-2025-26606" TargetMode="External"/><Relationship Id="rId30" Type="http://schemas.openxmlformats.org/officeDocument/2006/relationships/hyperlink" Target="https://www.boe.es/boe/dias/2025/12/26/pdfs/BOE-A-2025-26626.pdf"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3.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1263</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4</cp:revision>
  <dcterms:created xsi:type="dcterms:W3CDTF">2025-12-22T08:45:00Z</dcterms:created>
  <dcterms:modified xsi:type="dcterms:W3CDTF">2025-12-29T08:09:00Z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